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C0" w:rsidRDefault="00046C21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bookmarkStart w:id="0" w:name="_Toc525308966"/>
      <w:r>
        <w:rPr>
          <w:rFonts w:hint="eastAsia"/>
          <w:b/>
          <w:sz w:val="24"/>
          <w:lang w:val="en-US"/>
        </w:rPr>
        <w:t>3GPP TSG-RAN WG3 #1</w:t>
      </w:r>
      <w:r>
        <w:rPr>
          <w:rFonts w:eastAsia="宋体" w:hint="eastAsia"/>
          <w:b/>
          <w:sz w:val="24"/>
          <w:lang w:val="en-US" w:eastAsia="zh-CN"/>
        </w:rPr>
        <w:t>15</w:t>
      </w:r>
      <w:r>
        <w:rPr>
          <w:rFonts w:hint="eastAsia"/>
          <w:b/>
          <w:sz w:val="24"/>
          <w:lang w:val="en-US"/>
        </w:rPr>
        <w:t>-e</w:t>
      </w:r>
      <w:r>
        <w:rPr>
          <w:b/>
          <w:sz w:val="24"/>
          <w:lang w:val="en-US"/>
        </w:rPr>
        <w:tab/>
        <w:t>R3-</w:t>
      </w:r>
      <w:r>
        <w:rPr>
          <w:rFonts w:hint="eastAsia"/>
          <w:b/>
          <w:sz w:val="24"/>
          <w:lang w:val="en-US"/>
        </w:rPr>
        <w:t>22</w:t>
      </w:r>
      <w:r>
        <w:rPr>
          <w:rFonts w:eastAsia="宋体" w:hint="eastAsia"/>
          <w:b/>
          <w:sz w:val="24"/>
          <w:lang w:val="en-US" w:eastAsia="zh-CN"/>
        </w:rPr>
        <w:t>2820</w:t>
      </w:r>
    </w:p>
    <w:p w:rsidR="00A412C0" w:rsidRDefault="00046C21">
      <w:pPr>
        <w:pStyle w:val="af2"/>
        <w:rPr>
          <w:rFonts w:ascii="Arial" w:hAnsi="Arial" w:cs="Arial"/>
          <w:b/>
          <w:bCs/>
          <w:sz w:val="24"/>
          <w:szCs w:val="24"/>
          <w:lang w:val="en-US" w:eastAsia="zh-CN"/>
        </w:rPr>
      </w:pPr>
      <w:proofErr w:type="spellStart"/>
      <w:r>
        <w:rPr>
          <w:rFonts w:ascii="Arial" w:hAnsi="Arial"/>
          <w:b/>
          <w:sz w:val="24"/>
        </w:rPr>
        <w:t>Onlin</w:t>
      </w:r>
      <w:proofErr w:type="spellEnd"/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e, </w:t>
      </w:r>
      <w:r>
        <w:rPr>
          <w:rFonts w:ascii="Arial" w:hAnsi="Arial" w:hint="eastAsia"/>
          <w:b/>
          <w:sz w:val="24"/>
        </w:rPr>
        <w:t>21 Feb - 3 Mar 2022</w:t>
      </w:r>
    </w:p>
    <w:p w:rsidR="00A412C0" w:rsidRDefault="00A412C0"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 w:rsidR="00A412C0" w:rsidRDefault="00046C21"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11"/>
      <w:bookmarkStart w:id="2" w:name="OLE_LINK9"/>
      <w:bookmarkStart w:id="3" w:name="OLE_LINK8"/>
      <w:r>
        <w:rPr>
          <w:rFonts w:ascii="Arial" w:hAnsi="Arial"/>
          <w:sz w:val="24"/>
        </w:rPr>
        <w:t xml:space="preserve">(TP for SON BL CR for TS </w:t>
      </w:r>
      <w:r>
        <w:rPr>
          <w:rFonts w:ascii="Arial" w:eastAsia="宋体" w:hAnsi="Arial" w:hint="eastAsia"/>
          <w:sz w:val="24"/>
          <w:lang w:val="en-US" w:eastAsia="zh-CN"/>
        </w:rPr>
        <w:t>37.340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ascii="Arial" w:eastAsia="宋体" w:hAnsi="Arial" w:hint="eastAsia"/>
          <w:sz w:val="24"/>
          <w:lang w:val="en-US" w:eastAsia="zh-CN"/>
        </w:rPr>
        <w:t>Introduce UE History Information in MR-DC</w:t>
      </w:r>
    </w:p>
    <w:p w:rsidR="00A412C0" w:rsidRDefault="00046C21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CMCC</w:t>
      </w:r>
      <w:r>
        <w:rPr>
          <w:rStyle w:val="af3"/>
          <w:rFonts w:hint="eastAsia"/>
        </w:rPr>
        <w:t>, ZTE, Lenovo, Motorola Mobility, China Unicom</w:t>
      </w:r>
      <w:bookmarkStart w:id="4" w:name="_GoBack"/>
      <w:bookmarkEnd w:id="4"/>
    </w:p>
    <w:p w:rsidR="00A412C0" w:rsidRDefault="00046C21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ascii="Arial" w:hAnsi="Arial" w:hint="eastAsia"/>
          <w:sz w:val="24"/>
          <w:lang w:val="en-US" w:eastAsia="zh-CN"/>
        </w:rPr>
        <w:t>4</w:t>
      </w:r>
    </w:p>
    <w:p w:rsidR="00A412C0" w:rsidRDefault="00046C21">
      <w:pPr>
        <w:tabs>
          <w:tab w:val="left" w:pos="1985"/>
          <w:tab w:val="center" w:pos="4820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 w:rsidR="00A412C0" w:rsidRDefault="00046C21">
      <w:pPr>
        <w:pStyle w:val="1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eastAsia="zh-CN"/>
        </w:rPr>
        <w:t>Introduction</w:t>
      </w:r>
    </w:p>
    <w:p w:rsidR="00A412C0" w:rsidRDefault="00046C21">
      <w:pPr>
        <w:tabs>
          <w:tab w:val="left" w:pos="1985"/>
        </w:tabs>
        <w:ind w:left="1980" w:hanging="1980"/>
        <w:rPr>
          <w:sz w:val="22"/>
          <w:szCs w:val="22"/>
        </w:rPr>
      </w:pPr>
      <w:r>
        <w:rPr>
          <w:rFonts w:eastAsia="Times New Roman" w:hint="eastAsia"/>
          <w:sz w:val="22"/>
          <w:szCs w:val="22"/>
          <w:lang w:val="en-US" w:eastAsia="zh-CN"/>
        </w:rPr>
        <w:t>Th</w:t>
      </w:r>
      <w:r>
        <w:rPr>
          <w:rFonts w:eastAsia="宋体" w:hint="eastAsia"/>
          <w:sz w:val="22"/>
          <w:szCs w:val="22"/>
          <w:lang w:val="en-US" w:eastAsia="zh-CN"/>
        </w:rPr>
        <w:t>is is a TP to SON BL CR TS 37.340 on introducing UE History Information in MR-DC</w:t>
      </w:r>
    </w:p>
    <w:p w:rsidR="00A412C0" w:rsidRDefault="00046C21">
      <w:pPr>
        <w:pStyle w:val="1"/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 xml:space="preserve">TP to </w:t>
      </w:r>
      <w:r>
        <w:rPr>
          <w:rFonts w:eastAsia="宋体" w:hint="eastAsia"/>
          <w:lang w:eastAsia="zh-CN"/>
        </w:rPr>
        <w:t xml:space="preserve">SON BL CR </w:t>
      </w:r>
      <w:r>
        <w:rPr>
          <w:lang w:eastAsia="zh-CN"/>
        </w:rPr>
        <w:t>TS 3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340</w:t>
      </w:r>
    </w:p>
    <w:tbl>
      <w:tblPr>
        <w:tblStyle w:val="ad"/>
        <w:tblW w:w="9779" w:type="dxa"/>
        <w:tblInd w:w="0" w:type="dxa"/>
        <w:tblLayout w:type="fixed"/>
        <w:tblCellMar>
          <w:left w:w="108" w:type="dxa"/>
          <w:right w:w="108" w:type="dxa"/>
        </w:tblCellMar>
        <w:tblLook w:val="04A0"/>
      </w:tblPr>
      <w:tblGrid>
        <w:gridCol w:w="9779"/>
      </w:tblGrid>
      <w:tr w:rsidR="00A412C0" w:rsidTr="00A412C0">
        <w:trPr>
          <w:cnfStyle w:val="100000000000"/>
        </w:trPr>
        <w:tc>
          <w:tcPr>
            <w:tcW w:w="9779" w:type="dxa"/>
            <w:shd w:val="clear" w:color="auto" w:fill="D9D9D9" w:themeFill="background1" w:themeFillShade="D9"/>
          </w:tcPr>
          <w:p w:rsidR="00A412C0" w:rsidRDefault="00046C2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 ***</w:t>
            </w:r>
          </w:p>
        </w:tc>
      </w:tr>
    </w:tbl>
    <w:p w:rsidR="00A412C0" w:rsidRDefault="00A412C0"/>
    <w:p w:rsidR="00A412C0" w:rsidRDefault="00046C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" w:name="_Toc90725895"/>
      <w:bookmarkStart w:id="6" w:name="_Toc52568348"/>
      <w:bookmarkStart w:id="7" w:name="_Toc29248369"/>
      <w:bookmarkStart w:id="8" w:name="_Toc46492822"/>
      <w:bookmarkStart w:id="9" w:name="_Toc37200956"/>
      <w:r>
        <w:rPr>
          <w:rFonts w:ascii="Arial" w:eastAsia="Times New Roman" w:hAnsi="Arial"/>
          <w:sz w:val="32"/>
          <w:lang w:eastAsia="zh-CN"/>
        </w:rPr>
        <w:t>10.6</w:t>
      </w:r>
      <w:r>
        <w:rPr>
          <w:rFonts w:ascii="Arial" w:eastAsia="Times New Roman" w:hAnsi="Arial"/>
          <w:sz w:val="32"/>
          <w:lang w:eastAsia="zh-CN"/>
        </w:rPr>
        <w:tab/>
      </w:r>
      <w:proofErr w:type="spellStart"/>
      <w:r>
        <w:rPr>
          <w:rFonts w:ascii="Arial" w:eastAsia="Times New Roman" w:hAnsi="Arial"/>
          <w:sz w:val="32"/>
          <w:lang w:eastAsia="zh-CN"/>
        </w:rPr>
        <w:t>PSCell</w:t>
      </w:r>
      <w:proofErr w:type="spellEnd"/>
      <w:r>
        <w:rPr>
          <w:rFonts w:ascii="Arial" w:eastAsia="Times New Roman" w:hAnsi="Arial"/>
          <w:sz w:val="32"/>
          <w:lang w:eastAsia="zh-CN"/>
        </w:rPr>
        <w:t xml:space="preserve"> change</w:t>
      </w:r>
      <w:bookmarkEnd w:id="5"/>
      <w:bookmarkEnd w:id="6"/>
      <w:bookmarkEnd w:id="7"/>
      <w:bookmarkEnd w:id="8"/>
      <w:bookmarkEnd w:id="9"/>
    </w:p>
    <w:p w:rsidR="00A412C0" w:rsidRDefault="00046C21">
      <w:r>
        <w:t xml:space="preserve">In MR-DC, a </w:t>
      </w:r>
      <w:proofErr w:type="spellStart"/>
      <w:r>
        <w:t>PSCell</w:t>
      </w:r>
      <w:proofErr w:type="spellEnd"/>
      <w:r>
        <w:t xml:space="preserve"> change does not always require a security key change.</w:t>
      </w:r>
    </w:p>
    <w:p w:rsidR="00A412C0" w:rsidRDefault="00046C21">
      <w:r>
        <w:t>If a security key</w:t>
      </w:r>
      <w:r>
        <w:t xml:space="preserve"> change is required, this is performed through a synchronous SCG reconfiguration procedure towards </w:t>
      </w:r>
      <w:proofErr w:type="gramStart"/>
      <w:r>
        <w:t>the</w:t>
      </w:r>
      <w:proofErr w:type="gramEnd"/>
      <w:r>
        <w:t xml:space="preserve"> UE involving random access on </w:t>
      </w:r>
      <w:proofErr w:type="spellStart"/>
      <w:r>
        <w:t>PSCell</w:t>
      </w:r>
      <w:proofErr w:type="spellEnd"/>
      <w:r>
        <w:t xml:space="preserve"> and a security key change, during which the MAC</w:t>
      </w:r>
      <w:r>
        <w:rPr>
          <w:lang w:eastAsia="zh-CN"/>
        </w:rPr>
        <w:t xml:space="preserve"> entity</w:t>
      </w:r>
      <w:r>
        <w:t xml:space="preserve"> configured for SCG is reset and RLC configured for SCG is re-</w:t>
      </w:r>
      <w:r>
        <w:t>established regardless of the bearer type(s) established on SCG. For SN terminated</w:t>
      </w:r>
      <w:r>
        <w:rPr>
          <w:lang w:eastAsia="zh-CN"/>
        </w:rPr>
        <w:t xml:space="preserve"> bearers</w:t>
      </w:r>
      <w:r>
        <w:t>, PDCP is re-established. In all MR-DC options, to perform this procedure within the same S</w:t>
      </w:r>
      <w:r>
        <w:rPr>
          <w:lang w:eastAsia="zh-CN"/>
        </w:rPr>
        <w:t>N</w:t>
      </w:r>
      <w:r>
        <w:t>, the S</w:t>
      </w:r>
      <w:r>
        <w:rPr>
          <w:lang w:eastAsia="zh-CN"/>
        </w:rPr>
        <w:t>N</w:t>
      </w:r>
      <w:r>
        <w:t xml:space="preserve"> Modification procedure as described in clause </w:t>
      </w:r>
      <w:r>
        <w:rPr>
          <w:lang w:eastAsia="zh-CN"/>
        </w:rPr>
        <w:t>10.3</w:t>
      </w:r>
      <w:r>
        <w:t xml:space="preserve"> is used, setting the </w:t>
      </w:r>
      <w:r>
        <w:rPr>
          <w:i/>
        </w:rPr>
        <w:t>PDCP Change Indication</w:t>
      </w:r>
      <w:r>
        <w:t xml:space="preserve"> to indicate that a S-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(for EN-DC, NGEN-DC and NR-DC) or S-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t xml:space="preserve"> (for NE-DC) update is required when the procedure is initiated by the SN or including the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Security Key</w:t>
      </w:r>
      <w:r>
        <w:t xml:space="preserve"> / </w:t>
      </w:r>
      <w:r>
        <w:rPr>
          <w:i/>
        </w:rPr>
        <w:t xml:space="preserve">SN Security Key </w:t>
      </w:r>
      <w:r>
        <w:t>when the procedure</w:t>
      </w:r>
      <w:r>
        <w:t xml:space="preserve"> is initiated by the MN. In all MR-DC options, to perform a </w:t>
      </w:r>
      <w:proofErr w:type="spellStart"/>
      <w:r>
        <w:t>PSCell</w:t>
      </w:r>
      <w:proofErr w:type="spellEnd"/>
      <w:r>
        <w:t xml:space="preserve"> change between different SN nodes, the SN Change procedure as described in clause 10.5 is used.</w:t>
      </w:r>
    </w:p>
    <w:p w:rsidR="00A412C0" w:rsidRDefault="00046C2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t>If a security key change is not required (only possible in EN-DC, NGEN-DC and NR-DC), this is</w:t>
      </w:r>
      <w:r>
        <w:t xml:space="preserve"> performed through a synchronous SCG reconfiguration procedure without security key change towards the UE involving random access on </w:t>
      </w:r>
      <w:proofErr w:type="spellStart"/>
      <w:r>
        <w:t>PSCell</w:t>
      </w:r>
      <w:proofErr w:type="spellEnd"/>
      <w:r>
        <w:t xml:space="preserve">, during which the MAC entity configured for SCG is reset and RLC configured for SCG is re-established regardless of </w:t>
      </w:r>
      <w:r>
        <w:t xml:space="preserve">the bearer type(s) established on SCG. For DRBs using RLC AM mode PDCP data recovery applies, and for DRBs using RLC UM no action is performed in PDCP. </w:t>
      </w:r>
      <w:r>
        <w:rPr>
          <w:rFonts w:eastAsia="等线"/>
          <w:lang w:eastAsia="zh-CN"/>
        </w:rPr>
        <w:t>For SRB3 PDCP may discard all stored SDUs and PDUs</w:t>
      </w:r>
      <w:r>
        <w:t>. Unless MN terminated SCG or split bearers are config</w:t>
      </w:r>
      <w:r>
        <w:t xml:space="preserve">ured, this does not require MN involvement. In this case, if location information was requested for the UE, the SN informs the MN about the </w:t>
      </w:r>
      <w:proofErr w:type="spellStart"/>
      <w:r>
        <w:t>PSCell</w:t>
      </w:r>
      <w:proofErr w:type="spellEnd"/>
      <w:r>
        <w:t xml:space="preserve"> change (as part of location information) using the SN initiated SN modification procedure independently from </w:t>
      </w:r>
      <w:r>
        <w:t>the reconfiguration of the UE. In case of MN terminated SCG or split bearers, the SN initiated S</w:t>
      </w:r>
      <w:r>
        <w:rPr>
          <w:lang w:eastAsia="zh-CN"/>
        </w:rPr>
        <w:t>N</w:t>
      </w:r>
      <w:r>
        <w:t xml:space="preserve"> Modification procedure as described in clause </w:t>
      </w:r>
      <w:r>
        <w:rPr>
          <w:lang w:eastAsia="zh-CN"/>
        </w:rPr>
        <w:t>10.3</w:t>
      </w:r>
      <w:r>
        <w:t xml:space="preserve"> is used, setting the </w:t>
      </w:r>
      <w:r>
        <w:rPr>
          <w:i/>
        </w:rPr>
        <w:t>PDCP Change Indication</w:t>
      </w:r>
      <w:r>
        <w:t xml:space="preserve"> to indicate that a PDCP data recovery is required.</w:t>
      </w:r>
      <w:r>
        <w:rPr>
          <w:rFonts w:eastAsia="宋体" w:hint="eastAsia"/>
          <w:lang w:val="en-US" w:eastAsia="zh-CN"/>
        </w:rPr>
        <w:t xml:space="preserve"> </w:t>
      </w:r>
      <w:ins w:id="10" w:author="CMCC" w:date="2022-03-02T00:05:00Z">
        <w:r>
          <w:rPr>
            <w:rFonts w:eastAsia="宋体" w:hint="eastAsia"/>
            <w:lang w:val="en-US" w:eastAsia="zh-CN"/>
          </w:rPr>
          <w:t>If the MN su</w:t>
        </w:r>
        <w:r>
          <w:rPr>
            <w:rFonts w:eastAsia="宋体" w:hint="eastAsia"/>
            <w:lang w:val="en-US" w:eastAsia="zh-CN"/>
          </w:rPr>
          <w:t xml:space="preserve">bscribes to </w:t>
        </w:r>
        <w:proofErr w:type="spellStart"/>
        <w:r>
          <w:rPr>
            <w:rFonts w:eastAsia="宋体" w:hint="eastAsia"/>
            <w:lang w:val="en-US" w:eastAsia="zh-CN"/>
          </w:rPr>
          <w:t>PSCell</w:t>
        </w:r>
        <w:proofErr w:type="spellEnd"/>
        <w:r>
          <w:rPr>
            <w:rFonts w:eastAsia="宋体" w:hint="eastAsia"/>
            <w:lang w:val="en-US" w:eastAsia="zh-CN"/>
          </w:rPr>
          <w:t xml:space="preserve"> changes to retrieve the SCG UE history information, the SN informs the MN about the SCG UE history information using the SN initiated SN modification procedure.</w:t>
        </w:r>
      </w:ins>
    </w:p>
    <w:p w:rsidR="00A412C0" w:rsidRDefault="00046C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Conditional </w:t>
      </w:r>
      <w:proofErr w:type="spellStart"/>
      <w:r>
        <w:rPr>
          <w:rFonts w:eastAsia="宋体"/>
          <w:lang w:eastAsia="zh-CN"/>
        </w:rPr>
        <w:t>PSCell</w:t>
      </w:r>
      <w:proofErr w:type="spellEnd"/>
      <w:r>
        <w:rPr>
          <w:rFonts w:eastAsia="宋体"/>
          <w:lang w:eastAsia="zh-CN"/>
        </w:rPr>
        <w:t xml:space="preserve"> Change (CPC) is defined as a </w:t>
      </w:r>
      <w:proofErr w:type="spellStart"/>
      <w:r>
        <w:rPr>
          <w:rFonts w:eastAsia="宋体"/>
          <w:lang w:eastAsia="zh-CN"/>
        </w:rPr>
        <w:t>PSCell</w:t>
      </w:r>
      <w:proofErr w:type="spellEnd"/>
      <w:r>
        <w:rPr>
          <w:rFonts w:eastAsia="宋体"/>
          <w:lang w:eastAsia="zh-CN"/>
        </w:rPr>
        <w:t xml:space="preserve"> change that is exec</w:t>
      </w:r>
      <w:r>
        <w:rPr>
          <w:rFonts w:eastAsia="宋体"/>
          <w:lang w:eastAsia="zh-CN"/>
        </w:rPr>
        <w:t xml:space="preserve">uted by the UE when execution condition(s) is met. The UE starts evaluating the execution condition(s) upon receiving the CPC configuration, and stops evaluating the execution condition(s) once </w:t>
      </w:r>
      <w:proofErr w:type="spellStart"/>
      <w:r>
        <w:rPr>
          <w:rFonts w:eastAsia="宋体"/>
          <w:lang w:eastAsia="zh-CN"/>
        </w:rPr>
        <w:t>PSCell</w:t>
      </w:r>
      <w:proofErr w:type="spellEnd"/>
      <w:r>
        <w:rPr>
          <w:rFonts w:eastAsia="宋体"/>
          <w:lang w:eastAsia="zh-CN"/>
        </w:rPr>
        <w:t xml:space="preserve"> change is triggered.</w:t>
      </w:r>
      <w:r>
        <w:rPr>
          <w:lang w:eastAsia="ko-KR"/>
        </w:rPr>
        <w:t xml:space="preserve"> Only intra-SN CPC </w:t>
      </w:r>
      <w:r>
        <w:rPr>
          <w:rFonts w:eastAsia="宋体"/>
          <w:lang w:eastAsia="zh-CN"/>
        </w:rPr>
        <w:t>without MN invol</w:t>
      </w:r>
      <w:r>
        <w:rPr>
          <w:rFonts w:eastAsia="宋体"/>
          <w:lang w:eastAsia="zh-CN"/>
        </w:rPr>
        <w:t>vement</w:t>
      </w:r>
      <w:r>
        <w:rPr>
          <w:lang w:eastAsia="ko-KR"/>
        </w:rPr>
        <w:t xml:space="preserve"> is supported.</w:t>
      </w:r>
    </w:p>
    <w:p w:rsidR="00A412C0" w:rsidRDefault="00046C21">
      <w:r>
        <w:rPr>
          <w:rFonts w:eastAsia="宋体"/>
          <w:lang w:eastAsia="zh-CN"/>
        </w:rPr>
        <w:t>The following principles apply to CPC:</w:t>
      </w:r>
    </w:p>
    <w:p w:rsidR="00A412C0" w:rsidRDefault="00046C21">
      <w:pPr>
        <w:pStyle w:val="B1"/>
      </w:pPr>
      <w:r>
        <w:t>-</w:t>
      </w:r>
      <w:r>
        <w:tab/>
        <w:t xml:space="preserve">The CPC configuration contains </w:t>
      </w:r>
      <w:r>
        <w:rPr>
          <w:lang w:eastAsia="ko-KR"/>
        </w:rPr>
        <w:t xml:space="preserve">the configuration of CPC candidate </w:t>
      </w:r>
      <w:proofErr w:type="spellStart"/>
      <w:r>
        <w:rPr>
          <w:lang w:eastAsia="zh-CN"/>
        </w:rPr>
        <w:t>PSC</w:t>
      </w:r>
      <w:r>
        <w:rPr>
          <w:lang w:eastAsia="ko-KR"/>
        </w:rPr>
        <w:t>ell</w:t>
      </w:r>
      <w:proofErr w:type="spellEnd"/>
      <w:r>
        <w:rPr>
          <w:lang w:eastAsia="ko-KR"/>
        </w:rPr>
        <w:t>(s) and execution condition(s) generated by the SN.</w:t>
      </w:r>
    </w:p>
    <w:p w:rsidR="00A412C0" w:rsidRDefault="00046C21">
      <w:pPr>
        <w:pStyle w:val="B1"/>
      </w:pPr>
      <w:r>
        <w:lastRenderedPageBreak/>
        <w:t>-</w:t>
      </w:r>
      <w:r>
        <w:tab/>
        <w:t xml:space="preserve">An </w:t>
      </w:r>
      <w:r>
        <w:rPr>
          <w:lang w:eastAsia="ko-KR"/>
        </w:rPr>
        <w:t xml:space="preserve">execution </w:t>
      </w:r>
      <w:r>
        <w:t>condition may consist of one or two trigger condition(s</w:t>
      </w:r>
      <w:r>
        <w:t xml:space="preserve">) (CPC events A3/A5, as defined in </w:t>
      </w:r>
      <w:r>
        <w:rPr>
          <w:rFonts w:eastAsia="宋体"/>
          <w:lang w:eastAsia="zh-CN"/>
        </w:rPr>
        <w:t>TS 38.331</w:t>
      </w:r>
      <w:r>
        <w:t xml:space="preserve"> [4]). Only single RS type is supported and at most two different trigger quantities (e.g. RSRP and RSRQ, RSRP and SINR, etc.) can be configured simultaneously for the </w:t>
      </w:r>
      <w:proofErr w:type="spellStart"/>
      <w:r>
        <w:t>evalution</w:t>
      </w:r>
      <w:proofErr w:type="spellEnd"/>
      <w:r>
        <w:t xml:space="preserve"> of CPC execution condition of a si</w:t>
      </w:r>
      <w:r>
        <w:t xml:space="preserve">ngle candidate </w:t>
      </w:r>
      <w:proofErr w:type="spellStart"/>
      <w:r>
        <w:t>PSCell</w:t>
      </w:r>
      <w:proofErr w:type="spellEnd"/>
      <w:r>
        <w:t>.</w:t>
      </w:r>
    </w:p>
    <w:p w:rsidR="00A412C0" w:rsidRDefault="00046C21">
      <w:pPr>
        <w:pStyle w:val="B1"/>
      </w:pPr>
      <w:r>
        <w:t>-</w:t>
      </w:r>
      <w:r>
        <w:tab/>
        <w:t xml:space="preserve">Before any CPC execution condition is satisfied, upon reception of </w:t>
      </w:r>
      <w:proofErr w:type="spellStart"/>
      <w:r>
        <w:t>PSCell</w:t>
      </w:r>
      <w:proofErr w:type="spellEnd"/>
      <w:r>
        <w:t xml:space="preserve"> change command or </w:t>
      </w:r>
      <w:proofErr w:type="spellStart"/>
      <w:r>
        <w:t>PCell</w:t>
      </w:r>
      <w:proofErr w:type="spellEnd"/>
      <w:r>
        <w:t xml:space="preserve"> change command, the UE executes the </w:t>
      </w:r>
      <w:proofErr w:type="spellStart"/>
      <w:r>
        <w:t>PSCell</w:t>
      </w:r>
      <w:proofErr w:type="spellEnd"/>
      <w:r>
        <w:t xml:space="preserve"> change procedure as described in clause 10.3 and 10.5 or the </w:t>
      </w:r>
      <w:proofErr w:type="spellStart"/>
      <w:r>
        <w:t>PCell</w:t>
      </w:r>
      <w:proofErr w:type="spellEnd"/>
      <w:r>
        <w:t xml:space="preserve"> change procedure as des</w:t>
      </w:r>
      <w:r>
        <w:t>cribed in clause 9.2.3.2 in TS 38.300[3]</w:t>
      </w:r>
      <w:r>
        <w:rPr>
          <w:rFonts w:eastAsia="宋体"/>
          <w:lang w:eastAsia="zh-CN"/>
        </w:rPr>
        <w:t xml:space="preserve"> or clause 10.1.2.1 in TS 36.300 [2]</w:t>
      </w:r>
      <w:r>
        <w:t xml:space="preserve">, regardless of any previously received CPC configuration. Upon the successful completion of </w:t>
      </w:r>
      <w:proofErr w:type="spellStart"/>
      <w:r>
        <w:t>PSCell</w:t>
      </w:r>
      <w:proofErr w:type="spellEnd"/>
      <w:r>
        <w:t xml:space="preserve"> change procedure or </w:t>
      </w:r>
      <w:proofErr w:type="spellStart"/>
      <w:r>
        <w:t>PCell</w:t>
      </w:r>
      <w:proofErr w:type="spellEnd"/>
      <w:r>
        <w:t xml:space="preserve"> change procedure, the UE releases all stored CPC confi</w:t>
      </w:r>
      <w:r>
        <w:t>gurations.</w:t>
      </w:r>
    </w:p>
    <w:p w:rsidR="00A412C0" w:rsidRDefault="00046C21">
      <w:pPr>
        <w:pStyle w:val="B1"/>
      </w:pPr>
      <w:r>
        <w:t>-</w:t>
      </w:r>
      <w:r>
        <w:tab/>
        <w:t xml:space="preserve">While executing CPC, the UE is not required to continue evaluating the execution condition of other candidate </w:t>
      </w:r>
      <w:proofErr w:type="spellStart"/>
      <w:r>
        <w:t>PSCell</w:t>
      </w:r>
      <w:proofErr w:type="spellEnd"/>
      <w:r>
        <w:t>(s).</w:t>
      </w:r>
    </w:p>
    <w:p w:rsidR="00A412C0" w:rsidRDefault="00046C21">
      <w:pPr>
        <w:pStyle w:val="B1"/>
      </w:pPr>
      <w:r>
        <w:t>-</w:t>
      </w:r>
      <w:r>
        <w:tab/>
        <w:t>Once the CPC procedure is executed successfully, the UE releases all stored CPC configurations.</w:t>
      </w:r>
    </w:p>
    <w:p w:rsidR="00A412C0" w:rsidRDefault="00046C21">
      <w:pPr>
        <w:pStyle w:val="B1"/>
      </w:pPr>
      <w:r>
        <w:t>-</w:t>
      </w:r>
      <w:r>
        <w:tab/>
        <w:t>Upon the release of SC</w:t>
      </w:r>
      <w:r>
        <w:t>G, the UE releases the stored CPC configurations.</w:t>
      </w:r>
    </w:p>
    <w:p w:rsidR="00A412C0" w:rsidRDefault="00046C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t xml:space="preserve">CPC configuration in HO command, </w:t>
      </w:r>
      <w:proofErr w:type="spellStart"/>
      <w:r>
        <w:t>PSCell</w:t>
      </w:r>
      <w:proofErr w:type="spellEnd"/>
      <w:r>
        <w:t xml:space="preserve"> change command or </w:t>
      </w:r>
      <w:r>
        <w:rPr>
          <w:rFonts w:eastAsia="宋体"/>
          <w:lang w:eastAsia="zh-CN"/>
        </w:rPr>
        <w:t>conditional</w:t>
      </w:r>
      <w:r>
        <w:t xml:space="preserve"> </w:t>
      </w:r>
      <w:r>
        <w:rPr>
          <w:rFonts w:eastAsia="宋体"/>
          <w:lang w:eastAsia="zh-CN"/>
        </w:rPr>
        <w:t>re</w:t>
      </w:r>
      <w:r>
        <w:t>configuration is not supported.</w:t>
      </w:r>
    </w:p>
    <w:tbl>
      <w:tblPr>
        <w:tblStyle w:val="ad"/>
        <w:tblW w:w="9779" w:type="dxa"/>
        <w:tblInd w:w="0" w:type="dxa"/>
        <w:tblLayout w:type="fixed"/>
        <w:tblCellMar>
          <w:left w:w="108" w:type="dxa"/>
          <w:right w:w="108" w:type="dxa"/>
        </w:tblCellMar>
        <w:tblLook w:val="04A0"/>
      </w:tblPr>
      <w:tblGrid>
        <w:gridCol w:w="9779"/>
      </w:tblGrid>
      <w:tr w:rsidR="00A412C0" w:rsidTr="00A412C0">
        <w:trPr>
          <w:cnfStyle w:val="100000000000"/>
        </w:trPr>
        <w:tc>
          <w:tcPr>
            <w:tcW w:w="9779" w:type="dxa"/>
            <w:shd w:val="clear" w:color="auto" w:fill="D9D9D9" w:themeFill="background1" w:themeFillShade="D9"/>
          </w:tcPr>
          <w:p w:rsidR="00A412C0" w:rsidRDefault="00046C2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 w:rsidR="00A412C0" w:rsidRDefault="00A412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A412C0" w:rsidRDefault="00046C21">
      <w:pPr>
        <w:pStyle w:val="1"/>
      </w:pPr>
      <w:bookmarkStart w:id="11" w:name="_Toc29248400"/>
      <w:bookmarkStart w:id="12" w:name="_Toc37200987"/>
      <w:bookmarkStart w:id="13" w:name="_Toc46492853"/>
      <w:r>
        <w:t>13</w:t>
      </w:r>
      <w:r>
        <w:tab/>
        <w:t>Other aspects</w:t>
      </w:r>
      <w:bookmarkEnd w:id="11"/>
      <w:bookmarkEnd w:id="12"/>
      <w:bookmarkEnd w:id="13"/>
    </w:p>
    <w:p w:rsidR="00A412C0" w:rsidRDefault="00046C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4" w:name="_Toc52568385"/>
      <w:bookmarkStart w:id="15" w:name="_Toc37200988"/>
      <w:bookmarkStart w:id="16" w:name="_Toc29248401"/>
      <w:bookmarkStart w:id="17" w:name="_Toc46492854"/>
      <w:bookmarkStart w:id="18" w:name="_Toc90725932"/>
      <w:r>
        <w:rPr>
          <w:rFonts w:ascii="Arial" w:eastAsia="Times New Roman" w:hAnsi="Arial"/>
          <w:kern w:val="2"/>
          <w:sz w:val="32"/>
          <w:lang w:eastAsia="zh-CN" w:bidi="ta-IN"/>
        </w:rPr>
        <w:t>13.1</w:t>
      </w:r>
      <w:r>
        <w:rPr>
          <w:rFonts w:ascii="Arial" w:eastAsia="Times New Roman" w:hAnsi="Arial"/>
          <w:kern w:val="2"/>
          <w:sz w:val="32"/>
          <w:lang w:eastAsia="ja-JP" w:bidi="ta-IN"/>
        </w:rPr>
        <w:tab/>
      </w:r>
      <w:r>
        <w:rPr>
          <w:rFonts w:ascii="Arial" w:eastAsia="Times New Roman" w:hAnsi="Arial"/>
          <w:sz w:val="32"/>
          <w:lang w:eastAsia="ja-JP"/>
        </w:rPr>
        <w:t>Interference avoidance for in-device coexistence</w:t>
      </w:r>
      <w:bookmarkEnd w:id="14"/>
      <w:bookmarkEnd w:id="15"/>
      <w:bookmarkEnd w:id="16"/>
      <w:bookmarkEnd w:id="17"/>
      <w:bookmarkEnd w:id="18"/>
    </w:p>
    <w:p w:rsidR="00A412C0" w:rsidRDefault="00046C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t>In-Device Coexistence (IDC) solution as described in TS 36.300 [2] is extended to address EN-DC operation. Only FDM solution, where the list of NR carriers suffering from IDC problems is signalled in IDC indication, is supported in this version of the spec</w:t>
      </w:r>
      <w:r>
        <w:t xml:space="preserve">ifications. The requirement on </w:t>
      </w:r>
      <w:r>
        <w:rPr>
          <w:lang w:eastAsia="zh-CN"/>
        </w:rPr>
        <w:t xml:space="preserve">RRM/RLM/CSI measurements in different phases of IDC interference defined in </w:t>
      </w:r>
      <w:r>
        <w:t>TS 36.300</w:t>
      </w:r>
      <w:r>
        <w:rPr>
          <w:lang w:eastAsia="zh-CN"/>
        </w:rPr>
        <w:t xml:space="preserve"> [2] is applicable except that for NR serving cell, the requirements in TS 38.133 [8] and TS 38.101-1 [12], TS 38.101-2 [13], TS 38.101-3 [1</w:t>
      </w:r>
      <w:r>
        <w:rPr>
          <w:lang w:eastAsia="zh-CN"/>
        </w:rPr>
        <w:t>4] apply.</w:t>
      </w:r>
    </w:p>
    <w:p w:rsidR="00A412C0" w:rsidRDefault="00046C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9" w:name="_Toc52568386"/>
      <w:bookmarkStart w:id="20" w:name="_Toc46492855"/>
      <w:bookmarkStart w:id="21" w:name="_Toc37200989"/>
      <w:bookmarkStart w:id="22" w:name="_Toc90725933"/>
      <w:bookmarkStart w:id="23" w:name="_Toc20428260"/>
      <w:bookmarkStart w:id="24" w:name="_Toc5707112"/>
      <w:r>
        <w:rPr>
          <w:rFonts w:ascii="Arial" w:eastAsia="Times New Roman" w:hAnsi="Arial"/>
          <w:sz w:val="32"/>
          <w:lang w:eastAsia="ja-JP"/>
        </w:rPr>
        <w:t>13.2</w:t>
      </w:r>
      <w:r>
        <w:rPr>
          <w:rFonts w:ascii="Arial" w:eastAsia="Times New Roman" w:hAnsi="Arial"/>
          <w:sz w:val="32"/>
          <w:lang w:eastAsia="ja-JP"/>
        </w:rPr>
        <w:tab/>
      </w:r>
      <w:proofErr w:type="spellStart"/>
      <w:r>
        <w:rPr>
          <w:rFonts w:ascii="Arial" w:eastAsia="Times New Roman" w:hAnsi="Arial"/>
          <w:sz w:val="32"/>
          <w:lang w:eastAsia="ja-JP"/>
        </w:rPr>
        <w:t>Sidelink</w:t>
      </w:r>
      <w:bookmarkEnd w:id="19"/>
      <w:bookmarkEnd w:id="20"/>
      <w:bookmarkEnd w:id="21"/>
      <w:bookmarkEnd w:id="22"/>
      <w:proofErr w:type="spellEnd"/>
    </w:p>
    <w:bookmarkEnd w:id="23"/>
    <w:bookmarkEnd w:id="24"/>
    <w:p w:rsidR="00A412C0" w:rsidRDefault="00046C2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t xml:space="preserve">NR </w:t>
      </w:r>
      <w:proofErr w:type="spellStart"/>
      <w:r>
        <w:t>Sidelink</w:t>
      </w:r>
      <w:proofErr w:type="spellEnd"/>
      <w:r>
        <w:t xml:space="preserve"> Communication and V2X </w:t>
      </w:r>
      <w:proofErr w:type="spellStart"/>
      <w:r>
        <w:t>Sidelink</w:t>
      </w:r>
      <w:proofErr w:type="spellEnd"/>
      <w:r>
        <w:t xml:space="preserve"> Communication cannot be configured in MR-DC in this release.</w:t>
      </w:r>
    </w:p>
    <w:p w:rsidR="00A412C0" w:rsidRDefault="00046C21">
      <w:pPr>
        <w:pStyle w:val="2"/>
        <w:rPr>
          <w:ins w:id="25" w:author="Samsung" w:date="2022-02-07T11:39:00Z"/>
          <w:lang w:val="en-US" w:eastAsia="zh-CN"/>
        </w:rPr>
      </w:pPr>
      <w:ins w:id="26" w:author="Samsung" w:date="2022-02-07T11:39:00Z">
        <w:r>
          <w:t>13</w:t>
        </w:r>
        <w:proofErr w:type="gramStart"/>
        <w:r>
          <w:t>.</w:t>
        </w:r>
        <w:r>
          <w:rPr>
            <w:rFonts w:hint="eastAsia"/>
            <w:lang w:val="en-US" w:eastAsia="zh-CN"/>
          </w:rPr>
          <w:t>x</w:t>
        </w:r>
        <w:proofErr w:type="gramEnd"/>
        <w:r>
          <w:rPr>
            <w:rFonts w:hint="eastAsia"/>
            <w:lang w:val="en-US" w:eastAsia="zh-CN"/>
          </w:rPr>
          <w:t xml:space="preserve"> SCG </w:t>
        </w:r>
        <w:bookmarkStart w:id="27" w:name="OLE_LINK1"/>
        <w:r>
          <w:rPr>
            <w:rFonts w:hint="eastAsia"/>
            <w:lang w:val="en-US" w:eastAsia="zh-CN"/>
          </w:rPr>
          <w:t>UE history information</w:t>
        </w:r>
        <w:bookmarkEnd w:id="27"/>
        <w:r>
          <w:tab/>
        </w:r>
      </w:ins>
    </w:p>
    <w:p w:rsidR="00A412C0" w:rsidRDefault="00046C21">
      <w:pPr>
        <w:rPr>
          <w:ins w:id="28" w:author="Samsung" w:date="2022-02-07T11:39:00Z"/>
          <w:lang w:val="en-US" w:eastAsia="zh-CN"/>
        </w:rPr>
      </w:pPr>
      <w:ins w:id="29" w:author="Samsung" w:date="2022-02-07T11:39:00Z">
        <w:r>
          <w:rPr>
            <w:rFonts w:hint="eastAsia"/>
            <w:lang w:val="en-US" w:eastAsia="zh-CN"/>
          </w:rPr>
          <w:t>The MN s</w:t>
        </w:r>
        <w:proofErr w:type="spellStart"/>
        <w:r>
          <w:t>tores</w:t>
        </w:r>
        <w:proofErr w:type="spellEnd"/>
        <w:r>
          <w:rPr>
            <w:rFonts w:hint="eastAsia"/>
            <w:lang w:val="en-US" w:eastAsia="zh-CN"/>
          </w:rPr>
          <w:t xml:space="preserve"> and correlates</w:t>
        </w:r>
        <w:r>
          <w:t xml:space="preserve"> the UE History Information </w:t>
        </w:r>
        <w:r>
          <w:rPr>
            <w:rFonts w:hint="eastAsia"/>
            <w:lang w:val="en-US" w:eastAsia="zh-CN"/>
          </w:rPr>
          <w:t>from</w:t>
        </w:r>
        <w:r>
          <w:t xml:space="preserve"> </w:t>
        </w:r>
        <w:r>
          <w:rPr>
            <w:rFonts w:hint="eastAsia"/>
            <w:lang w:val="en-US" w:eastAsia="zh-CN"/>
          </w:rPr>
          <w:t>MN and SN(s) as long as the UE sta</w:t>
        </w:r>
        <w:r>
          <w:rPr>
            <w:rFonts w:hint="eastAsia"/>
            <w:lang w:val="en-US" w:eastAsia="zh-CN"/>
          </w:rPr>
          <w:t>ys in MR-DC</w:t>
        </w:r>
        <w:r>
          <w:t xml:space="preserve">, forwards UE </w:t>
        </w:r>
        <w:r>
          <w:rPr>
            <w:rFonts w:hint="eastAsia"/>
            <w:lang w:val="en-US" w:eastAsia="zh-CN"/>
          </w:rPr>
          <w:t>H</w:t>
        </w:r>
        <w:proofErr w:type="spellStart"/>
        <w:r>
          <w:t>istory</w:t>
        </w:r>
        <w:proofErr w:type="spellEnd"/>
        <w:r>
          <w:t xml:space="preserve"> </w:t>
        </w:r>
        <w:r>
          <w:rPr>
            <w:rFonts w:hint="eastAsia"/>
            <w:lang w:val="en-US" w:eastAsia="zh-CN"/>
          </w:rPr>
          <w:t>I</w:t>
        </w:r>
        <w:proofErr w:type="spellStart"/>
        <w:r>
          <w:t>nformation</w:t>
        </w:r>
        <w:proofErr w:type="spellEnd"/>
        <w:r>
          <w:rPr>
            <w:rFonts w:hint="eastAsia"/>
            <w:lang w:val="en-US" w:eastAsia="zh-CN"/>
          </w:rPr>
          <w:t xml:space="preserve"> and optional UE History Information from the UE to </w:t>
        </w:r>
        <w:r>
          <w:t xml:space="preserve">its </w:t>
        </w:r>
        <w:r>
          <w:rPr>
            <w:rFonts w:hint="eastAsia"/>
            <w:lang w:val="en-US" w:eastAsia="zh-CN"/>
          </w:rPr>
          <w:t>connected SNs</w:t>
        </w:r>
        <w:r>
          <w:t xml:space="preserve">. The resulting information is then used </w:t>
        </w:r>
        <w:r>
          <w:rPr>
            <w:rFonts w:hint="eastAsia"/>
            <w:lang w:val="en-US" w:eastAsia="zh-CN"/>
          </w:rPr>
          <w:t xml:space="preserve">by SN </w:t>
        </w:r>
        <w:r>
          <w:t>in subsequent handover preparation</w:t>
        </w:r>
        <w:r>
          <w:rPr>
            <w:rFonts w:hint="eastAsia"/>
            <w:lang w:val="en-US" w:eastAsia="zh-CN"/>
          </w:rPr>
          <w:t>. The SN is in charge of collecting SCG UE history information</w:t>
        </w:r>
        <w:r>
          <w:rPr>
            <w:rFonts w:hint="eastAsia"/>
            <w:lang w:val="en-US" w:eastAsia="zh-CN"/>
          </w:rPr>
          <w:t xml:space="preserve"> and providing the collected information to the MN</w:t>
        </w:r>
      </w:ins>
      <w:ins w:id="30" w:author="CMCC" w:date="2022-03-02T21:03:00Z">
        <w:r>
          <w:rPr>
            <w:rFonts w:hint="eastAsia"/>
            <w:lang w:val="en-US" w:eastAsia="zh-CN"/>
          </w:rPr>
          <w:t xml:space="preserve"> </w:t>
        </w:r>
      </w:ins>
      <w:ins w:id="31" w:author="CMCC" w:date="2022-03-02T21:04:00Z">
        <w:r>
          <w:rPr>
            <w:rFonts w:hint="eastAsia"/>
            <w:lang w:val="en-US" w:eastAsia="zh-CN"/>
          </w:rPr>
          <w:t xml:space="preserve">based on </w:t>
        </w:r>
      </w:ins>
      <w:ins w:id="32" w:author="CMCC" w:date="2022-03-02T21:06:00Z">
        <w:r>
          <w:rPr>
            <w:rFonts w:hint="eastAsia"/>
            <w:lang w:val="en-US" w:eastAsia="zh-CN"/>
          </w:rPr>
          <w:t xml:space="preserve">MN </w:t>
        </w:r>
      </w:ins>
      <w:ins w:id="33" w:author="CMCC" w:date="2022-03-02T21:04:00Z">
        <w:r>
          <w:rPr>
            <w:rFonts w:hint="eastAsia"/>
            <w:lang w:val="en-US" w:eastAsia="zh-CN"/>
          </w:rPr>
          <w:t xml:space="preserve">request or </w:t>
        </w:r>
      </w:ins>
      <w:ins w:id="34" w:author="CMCC" w:date="2022-03-02T21:06:00Z">
        <w:r>
          <w:rPr>
            <w:rFonts w:hint="eastAsia"/>
            <w:lang w:val="en-US" w:eastAsia="zh-CN"/>
          </w:rPr>
          <w:t xml:space="preserve">MN </w:t>
        </w:r>
      </w:ins>
      <w:ins w:id="35" w:author="CMCC" w:date="2022-03-02T21:04:00Z">
        <w:r>
          <w:rPr>
            <w:rFonts w:hint="eastAsia"/>
            <w:lang w:val="en-US" w:eastAsia="zh-CN"/>
          </w:rPr>
          <w:t xml:space="preserve">subscription on the </w:t>
        </w:r>
        <w:proofErr w:type="spellStart"/>
        <w:r>
          <w:rPr>
            <w:rFonts w:hint="eastAsia"/>
            <w:lang w:val="en-US" w:eastAsia="zh-CN"/>
          </w:rPr>
          <w:t>PSCell</w:t>
        </w:r>
        <w:proofErr w:type="spellEnd"/>
        <w:r>
          <w:rPr>
            <w:rFonts w:hint="eastAsia"/>
            <w:lang w:val="en-US" w:eastAsia="zh-CN"/>
          </w:rPr>
          <w:t xml:space="preserve"> change</w:t>
        </w:r>
      </w:ins>
      <w:ins w:id="36" w:author="Samsung" w:date="2022-02-07T11:39:00Z">
        <w:r>
          <w:rPr>
            <w:rFonts w:hint="eastAsia"/>
            <w:lang w:val="en-US" w:eastAsia="zh-CN"/>
          </w:rPr>
          <w:t xml:space="preserve">. </w:t>
        </w:r>
      </w:ins>
    </w:p>
    <w:p w:rsidR="00A412C0" w:rsidRDefault="00046C21">
      <w:pPr>
        <w:rPr>
          <w:ins w:id="37" w:author="Samsung" w:date="2022-02-07T11:39:00Z"/>
          <w:lang w:val="en-US" w:eastAsia="zh-CN"/>
        </w:rPr>
      </w:pPr>
      <w:ins w:id="38" w:author="Samsung" w:date="2022-02-07T11:39:00Z">
        <w:r>
          <w:rPr>
            <w:rFonts w:eastAsia="Times New Roman" w:hint="eastAsia"/>
            <w:lang w:eastAsia="ja-JP"/>
          </w:rPr>
          <w:t xml:space="preserve">The MN may retrieve the </w:t>
        </w:r>
        <w:r>
          <w:rPr>
            <w:rFonts w:hint="eastAsia"/>
            <w:lang w:val="en-US" w:eastAsia="zh-CN"/>
          </w:rPr>
          <w:t xml:space="preserve">SCG </w:t>
        </w:r>
        <w:r>
          <w:rPr>
            <w:rFonts w:eastAsia="Times New Roman" w:hint="eastAsia"/>
            <w:lang w:eastAsia="ja-JP"/>
          </w:rPr>
          <w:t xml:space="preserve">UE history </w:t>
        </w:r>
      </w:ins>
      <w:ins w:id="39" w:author="Samsung" w:date="2022-02-07T11:40:00Z">
        <w:r>
          <w:rPr>
            <w:rFonts w:eastAsia="Times New Roman"/>
            <w:lang w:eastAsia="ja-JP"/>
          </w:rPr>
          <w:t>information</w:t>
        </w:r>
      </w:ins>
      <w:ins w:id="40" w:author="Samsung" w:date="2022-02-07T11:39:00Z">
        <w:r>
          <w:rPr>
            <w:rFonts w:hint="eastAsia"/>
            <w:lang w:val="en-US" w:eastAsia="zh-CN"/>
          </w:rPr>
          <w:t xml:space="preserve"> via the </w:t>
        </w:r>
      </w:ins>
      <w:ins w:id="41" w:author="CMCC" w:date="2022-03-02T21:06:00Z">
        <w:r>
          <w:rPr>
            <w:rFonts w:hint="eastAsia"/>
            <w:lang w:val="en-US" w:eastAsia="zh-CN"/>
          </w:rPr>
          <w:t xml:space="preserve">SN </w:t>
        </w:r>
      </w:ins>
      <w:ins w:id="42" w:author="CMCC" w:date="2022-03-03T18:38:00Z">
        <w:r w:rsidR="00C3315E">
          <w:rPr>
            <w:rFonts w:hint="eastAsia"/>
            <w:lang w:val="en-US" w:eastAsia="zh-CN"/>
          </w:rPr>
          <w:t>A</w:t>
        </w:r>
      </w:ins>
      <w:ins w:id="43" w:author="CMCC" w:date="2022-03-02T21:06:00Z">
        <w:r>
          <w:rPr>
            <w:rFonts w:hint="eastAsia"/>
            <w:lang w:val="en-US" w:eastAsia="zh-CN"/>
          </w:rPr>
          <w:t xml:space="preserve">ddition and </w:t>
        </w:r>
      </w:ins>
      <w:ins w:id="44" w:author="Samsung" w:date="2022-02-07T11:39:00Z">
        <w:r>
          <w:rPr>
            <w:rFonts w:hint="eastAsia"/>
            <w:lang w:val="en-US" w:eastAsia="zh-CN"/>
          </w:rPr>
          <w:t>SN Modification procedures</w:t>
        </w:r>
        <w:r>
          <w:rPr>
            <w:rFonts w:eastAsia="Times New Roman" w:hint="eastAsia"/>
            <w:lang w:eastAsia="ja-JP"/>
          </w:rPr>
          <w:t>.</w:t>
        </w:r>
        <w:r>
          <w:rPr>
            <w:rFonts w:hint="eastAsia"/>
            <w:lang w:val="en-US" w:eastAsia="zh-CN"/>
          </w:rPr>
          <w:t xml:space="preserve"> SN shall provide the SCG </w:t>
        </w:r>
        <w:r>
          <w:rPr>
            <w:rFonts w:eastAsia="Times New Roman" w:hint="eastAsia"/>
            <w:lang w:eastAsia="ja-JP"/>
          </w:rPr>
          <w:t xml:space="preserve">UE history </w:t>
        </w:r>
      </w:ins>
      <w:proofErr w:type="spellStart"/>
      <w:ins w:id="45" w:author="Samsung" w:date="2022-02-07T11:40:00Z">
        <w:r>
          <w:rPr>
            <w:rFonts w:eastAsia="Times New Roman"/>
            <w:lang w:eastAsia="ja-JP"/>
          </w:rPr>
          <w:t>inf</w:t>
        </w:r>
        <w:r>
          <w:rPr>
            <w:rFonts w:eastAsia="Times New Roman"/>
            <w:lang w:eastAsia="ja-JP"/>
          </w:rPr>
          <w:t>ormatio</w:t>
        </w:r>
      </w:ins>
      <w:proofErr w:type="spellEnd"/>
      <w:ins w:id="46" w:author="Samsung" w:date="2022-02-07T11:39:00Z">
        <w:r>
          <w:rPr>
            <w:rFonts w:hint="eastAsia"/>
            <w:lang w:val="en-US" w:eastAsia="zh-CN"/>
          </w:rPr>
          <w:t>n, if available, in the SN Addition, SN Modification, SN Release, and SN initiated SN Change procedures.</w:t>
        </w:r>
      </w:ins>
    </w:p>
    <w:p w:rsidR="00A412C0" w:rsidRDefault="00A412C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</w:p>
    <w:tbl>
      <w:tblPr>
        <w:tblStyle w:val="ad"/>
        <w:tblW w:w="9779" w:type="dxa"/>
        <w:tblInd w:w="0" w:type="dxa"/>
        <w:tblLayout w:type="fixed"/>
        <w:tblCellMar>
          <w:left w:w="108" w:type="dxa"/>
          <w:right w:w="108" w:type="dxa"/>
        </w:tblCellMar>
        <w:tblLook w:val="04A0"/>
      </w:tblPr>
      <w:tblGrid>
        <w:gridCol w:w="9779"/>
      </w:tblGrid>
      <w:tr w:rsidR="00A412C0" w:rsidTr="00A412C0">
        <w:trPr>
          <w:cnfStyle w:val="100000000000"/>
        </w:trPr>
        <w:tc>
          <w:tcPr>
            <w:tcW w:w="9779" w:type="dxa"/>
            <w:shd w:val="clear" w:color="auto" w:fill="D9D9D9" w:themeFill="background1" w:themeFillShade="D9"/>
          </w:tcPr>
          <w:p w:rsidR="00A412C0" w:rsidRDefault="00046C21">
            <w:pPr>
              <w:spacing w:before="12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*** </w:t>
            </w:r>
            <w:r>
              <w:rPr>
                <w:rFonts w:eastAsia="宋体" w:hint="eastAsia"/>
                <w:b/>
                <w:lang w:val="en-US" w:eastAsia="zh-CN"/>
              </w:rPr>
              <w:t xml:space="preserve">End of </w:t>
            </w:r>
            <w:r>
              <w:rPr>
                <w:rFonts w:eastAsia="Times New Roman"/>
                <w:b/>
              </w:rPr>
              <w:t>change ***</w:t>
            </w:r>
          </w:p>
        </w:tc>
      </w:tr>
    </w:tbl>
    <w:p w:rsidR="00A412C0" w:rsidRDefault="00A412C0"/>
    <w:sectPr w:rsidR="00A412C0" w:rsidSect="00A412C0">
      <w:headerReference w:type="default" r:id="rId9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C21" w:rsidRDefault="00046C21" w:rsidP="00A412C0">
      <w:pPr>
        <w:spacing w:after="0"/>
      </w:pPr>
      <w:r>
        <w:separator/>
      </w:r>
    </w:p>
  </w:endnote>
  <w:endnote w:type="continuationSeparator" w:id="0">
    <w:p w:rsidR="00046C21" w:rsidRDefault="00046C21" w:rsidP="00A412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C21" w:rsidRDefault="00046C21" w:rsidP="00A412C0">
      <w:pPr>
        <w:spacing w:after="0"/>
      </w:pPr>
      <w:r>
        <w:separator/>
      </w:r>
    </w:p>
  </w:footnote>
  <w:footnote w:type="continuationSeparator" w:id="0">
    <w:p w:rsidR="00046C21" w:rsidRDefault="00046C21" w:rsidP="00A412C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2C0" w:rsidRDefault="00046C2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Samsung">
    <w15:presenceInfo w15:providerId="None" w15:userId="Samsung"/>
  </w15:person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04F51"/>
    <w:rsid w:val="00022E4A"/>
    <w:rsid w:val="00046C21"/>
    <w:rsid w:val="00091474"/>
    <w:rsid w:val="000A6394"/>
    <w:rsid w:val="000B7FED"/>
    <w:rsid w:val="000C038A"/>
    <w:rsid w:val="000C6598"/>
    <w:rsid w:val="000E444A"/>
    <w:rsid w:val="0014378C"/>
    <w:rsid w:val="00145D43"/>
    <w:rsid w:val="00162AE9"/>
    <w:rsid w:val="00192C46"/>
    <w:rsid w:val="001A08B3"/>
    <w:rsid w:val="001A2EA6"/>
    <w:rsid w:val="001A7B60"/>
    <w:rsid w:val="001B52F0"/>
    <w:rsid w:val="001B7A65"/>
    <w:rsid w:val="001C7AF2"/>
    <w:rsid w:val="001E41F3"/>
    <w:rsid w:val="001F033A"/>
    <w:rsid w:val="0025196D"/>
    <w:rsid w:val="0026004D"/>
    <w:rsid w:val="002640DD"/>
    <w:rsid w:val="00275D12"/>
    <w:rsid w:val="00284FEB"/>
    <w:rsid w:val="002860C4"/>
    <w:rsid w:val="002B0F2A"/>
    <w:rsid w:val="002B269C"/>
    <w:rsid w:val="002B5741"/>
    <w:rsid w:val="00305409"/>
    <w:rsid w:val="00331F38"/>
    <w:rsid w:val="00346AEA"/>
    <w:rsid w:val="003609EF"/>
    <w:rsid w:val="0036231A"/>
    <w:rsid w:val="00374DD4"/>
    <w:rsid w:val="003B68D7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5F00DE"/>
    <w:rsid w:val="005F5AA9"/>
    <w:rsid w:val="00621188"/>
    <w:rsid w:val="006257ED"/>
    <w:rsid w:val="00651D74"/>
    <w:rsid w:val="0066427F"/>
    <w:rsid w:val="00695808"/>
    <w:rsid w:val="006B2D08"/>
    <w:rsid w:val="006B46FB"/>
    <w:rsid w:val="006C55B0"/>
    <w:rsid w:val="006E21FB"/>
    <w:rsid w:val="00792342"/>
    <w:rsid w:val="007977A8"/>
    <w:rsid w:val="007B512A"/>
    <w:rsid w:val="007C2097"/>
    <w:rsid w:val="007D6A07"/>
    <w:rsid w:val="007F26A5"/>
    <w:rsid w:val="007F7259"/>
    <w:rsid w:val="008040A8"/>
    <w:rsid w:val="008279FA"/>
    <w:rsid w:val="0083528C"/>
    <w:rsid w:val="008626E7"/>
    <w:rsid w:val="008702E4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12C0"/>
    <w:rsid w:val="00A47E70"/>
    <w:rsid w:val="00A50CF0"/>
    <w:rsid w:val="00A71EF9"/>
    <w:rsid w:val="00A7671C"/>
    <w:rsid w:val="00AA2CBC"/>
    <w:rsid w:val="00AC5820"/>
    <w:rsid w:val="00AD1CD8"/>
    <w:rsid w:val="00B258BB"/>
    <w:rsid w:val="00B41281"/>
    <w:rsid w:val="00B67B97"/>
    <w:rsid w:val="00B968C8"/>
    <w:rsid w:val="00BA3EC5"/>
    <w:rsid w:val="00BA51D9"/>
    <w:rsid w:val="00BB5283"/>
    <w:rsid w:val="00BB5DFC"/>
    <w:rsid w:val="00BD279D"/>
    <w:rsid w:val="00BD6BB8"/>
    <w:rsid w:val="00BE6AEA"/>
    <w:rsid w:val="00C00283"/>
    <w:rsid w:val="00C3315E"/>
    <w:rsid w:val="00C458DB"/>
    <w:rsid w:val="00C506E0"/>
    <w:rsid w:val="00C66BA2"/>
    <w:rsid w:val="00C7256A"/>
    <w:rsid w:val="00C81B61"/>
    <w:rsid w:val="00C8483E"/>
    <w:rsid w:val="00C95985"/>
    <w:rsid w:val="00CA60D3"/>
    <w:rsid w:val="00CC2258"/>
    <w:rsid w:val="00CC5026"/>
    <w:rsid w:val="00CC68D0"/>
    <w:rsid w:val="00D03F9A"/>
    <w:rsid w:val="00D06D51"/>
    <w:rsid w:val="00D24991"/>
    <w:rsid w:val="00D50255"/>
    <w:rsid w:val="00D66520"/>
    <w:rsid w:val="00DB4414"/>
    <w:rsid w:val="00DE34CF"/>
    <w:rsid w:val="00E13F3D"/>
    <w:rsid w:val="00E34898"/>
    <w:rsid w:val="00EB09B7"/>
    <w:rsid w:val="00EB1B18"/>
    <w:rsid w:val="00EE7D7C"/>
    <w:rsid w:val="00F2207E"/>
    <w:rsid w:val="00F25D98"/>
    <w:rsid w:val="00F300FB"/>
    <w:rsid w:val="00F64135"/>
    <w:rsid w:val="00F77C51"/>
    <w:rsid w:val="00FB6386"/>
    <w:rsid w:val="00FC67DA"/>
    <w:rsid w:val="012A2681"/>
    <w:rsid w:val="015D76D3"/>
    <w:rsid w:val="032715AA"/>
    <w:rsid w:val="03B54947"/>
    <w:rsid w:val="04666075"/>
    <w:rsid w:val="05201400"/>
    <w:rsid w:val="05416986"/>
    <w:rsid w:val="0663708A"/>
    <w:rsid w:val="070912FB"/>
    <w:rsid w:val="075D5750"/>
    <w:rsid w:val="08990E82"/>
    <w:rsid w:val="0A210AFE"/>
    <w:rsid w:val="0A5E6E3D"/>
    <w:rsid w:val="0B1211F7"/>
    <w:rsid w:val="0B606C26"/>
    <w:rsid w:val="0B870377"/>
    <w:rsid w:val="0B994FFB"/>
    <w:rsid w:val="0C432525"/>
    <w:rsid w:val="0C9B06CB"/>
    <w:rsid w:val="0C9F6E25"/>
    <w:rsid w:val="0CA71B42"/>
    <w:rsid w:val="0F855254"/>
    <w:rsid w:val="0FCC7692"/>
    <w:rsid w:val="0FD161C2"/>
    <w:rsid w:val="0FDF1A99"/>
    <w:rsid w:val="10215BF7"/>
    <w:rsid w:val="11AC07EA"/>
    <w:rsid w:val="122A56CF"/>
    <w:rsid w:val="13110221"/>
    <w:rsid w:val="13BC0FA7"/>
    <w:rsid w:val="13EC6002"/>
    <w:rsid w:val="14A72E48"/>
    <w:rsid w:val="15AC7424"/>
    <w:rsid w:val="15D320D0"/>
    <w:rsid w:val="15D70AF3"/>
    <w:rsid w:val="169F40AD"/>
    <w:rsid w:val="17631785"/>
    <w:rsid w:val="177A52D6"/>
    <w:rsid w:val="18486D4A"/>
    <w:rsid w:val="18FF65E8"/>
    <w:rsid w:val="193E7468"/>
    <w:rsid w:val="1A8D2067"/>
    <w:rsid w:val="1B594F70"/>
    <w:rsid w:val="1CDB0820"/>
    <w:rsid w:val="1F532543"/>
    <w:rsid w:val="1F5B6448"/>
    <w:rsid w:val="1F6342D8"/>
    <w:rsid w:val="1F74280C"/>
    <w:rsid w:val="1FD50F88"/>
    <w:rsid w:val="20A613B0"/>
    <w:rsid w:val="20C55E50"/>
    <w:rsid w:val="213C4E78"/>
    <w:rsid w:val="21447814"/>
    <w:rsid w:val="217244D7"/>
    <w:rsid w:val="21E97CB8"/>
    <w:rsid w:val="228414D9"/>
    <w:rsid w:val="22FA22A0"/>
    <w:rsid w:val="234D7923"/>
    <w:rsid w:val="23C87E80"/>
    <w:rsid w:val="245A39CD"/>
    <w:rsid w:val="24752967"/>
    <w:rsid w:val="248520C8"/>
    <w:rsid w:val="24D80897"/>
    <w:rsid w:val="2602658F"/>
    <w:rsid w:val="26CF65A7"/>
    <w:rsid w:val="2787271F"/>
    <w:rsid w:val="28113216"/>
    <w:rsid w:val="287D1352"/>
    <w:rsid w:val="28E24D4D"/>
    <w:rsid w:val="294946BD"/>
    <w:rsid w:val="2A672638"/>
    <w:rsid w:val="2A945992"/>
    <w:rsid w:val="2AFC3021"/>
    <w:rsid w:val="2AFD6B98"/>
    <w:rsid w:val="2B2C1317"/>
    <w:rsid w:val="2B4034CE"/>
    <w:rsid w:val="2B455817"/>
    <w:rsid w:val="2B845A56"/>
    <w:rsid w:val="2C3A09F4"/>
    <w:rsid w:val="2C573165"/>
    <w:rsid w:val="2DE7692E"/>
    <w:rsid w:val="2E3549E6"/>
    <w:rsid w:val="30E069E2"/>
    <w:rsid w:val="30FF2D81"/>
    <w:rsid w:val="31634D32"/>
    <w:rsid w:val="327356F8"/>
    <w:rsid w:val="331D2BD3"/>
    <w:rsid w:val="33ED7C6A"/>
    <w:rsid w:val="34F53728"/>
    <w:rsid w:val="35211777"/>
    <w:rsid w:val="35BA08DD"/>
    <w:rsid w:val="362D76C4"/>
    <w:rsid w:val="36961BC2"/>
    <w:rsid w:val="372D05EC"/>
    <w:rsid w:val="37C01BA0"/>
    <w:rsid w:val="37EB00B7"/>
    <w:rsid w:val="39940615"/>
    <w:rsid w:val="39E1220A"/>
    <w:rsid w:val="3A0C4C90"/>
    <w:rsid w:val="3AD82A18"/>
    <w:rsid w:val="3B486EBB"/>
    <w:rsid w:val="3BC12F17"/>
    <w:rsid w:val="3C1776EF"/>
    <w:rsid w:val="3C3D7127"/>
    <w:rsid w:val="3C611C15"/>
    <w:rsid w:val="3C856EA2"/>
    <w:rsid w:val="3E777408"/>
    <w:rsid w:val="3E8818B2"/>
    <w:rsid w:val="3ED933DD"/>
    <w:rsid w:val="3FCD24E5"/>
    <w:rsid w:val="40CA0167"/>
    <w:rsid w:val="40DE2532"/>
    <w:rsid w:val="41555B8F"/>
    <w:rsid w:val="416950E0"/>
    <w:rsid w:val="41CE6F2F"/>
    <w:rsid w:val="41F62806"/>
    <w:rsid w:val="420A3365"/>
    <w:rsid w:val="421769A6"/>
    <w:rsid w:val="421C78F9"/>
    <w:rsid w:val="42251E34"/>
    <w:rsid w:val="422F0FDD"/>
    <w:rsid w:val="43F02BC5"/>
    <w:rsid w:val="44D804C4"/>
    <w:rsid w:val="45595DA3"/>
    <w:rsid w:val="4566664E"/>
    <w:rsid w:val="45EC11C5"/>
    <w:rsid w:val="46B32A2C"/>
    <w:rsid w:val="475B4077"/>
    <w:rsid w:val="480126D1"/>
    <w:rsid w:val="48B849C2"/>
    <w:rsid w:val="4B2556B6"/>
    <w:rsid w:val="4B2845C3"/>
    <w:rsid w:val="4B44185E"/>
    <w:rsid w:val="4BF84C12"/>
    <w:rsid w:val="4C1C1E57"/>
    <w:rsid w:val="4C882BF3"/>
    <w:rsid w:val="4CA47260"/>
    <w:rsid w:val="4D374C0D"/>
    <w:rsid w:val="4EF91C00"/>
    <w:rsid w:val="4F555668"/>
    <w:rsid w:val="4FE000D0"/>
    <w:rsid w:val="511E6027"/>
    <w:rsid w:val="51532B1D"/>
    <w:rsid w:val="51D65F34"/>
    <w:rsid w:val="51F836CC"/>
    <w:rsid w:val="52187F0B"/>
    <w:rsid w:val="52B11E43"/>
    <w:rsid w:val="52DC1318"/>
    <w:rsid w:val="5337519F"/>
    <w:rsid w:val="542D2FFF"/>
    <w:rsid w:val="548C2342"/>
    <w:rsid w:val="54CB59E1"/>
    <w:rsid w:val="5541706F"/>
    <w:rsid w:val="55852442"/>
    <w:rsid w:val="569725A6"/>
    <w:rsid w:val="56AF3E7B"/>
    <w:rsid w:val="57330AC8"/>
    <w:rsid w:val="57491974"/>
    <w:rsid w:val="57AF40BF"/>
    <w:rsid w:val="58276332"/>
    <w:rsid w:val="58A2285A"/>
    <w:rsid w:val="58B56080"/>
    <w:rsid w:val="590D7E26"/>
    <w:rsid w:val="59D07F60"/>
    <w:rsid w:val="5AEA4830"/>
    <w:rsid w:val="5B7F11FC"/>
    <w:rsid w:val="5B834283"/>
    <w:rsid w:val="5B99578C"/>
    <w:rsid w:val="5BD07EA8"/>
    <w:rsid w:val="5BD72957"/>
    <w:rsid w:val="5D366602"/>
    <w:rsid w:val="5D7B1E9D"/>
    <w:rsid w:val="5F014C9F"/>
    <w:rsid w:val="5F48084D"/>
    <w:rsid w:val="5FF85210"/>
    <w:rsid w:val="607E026D"/>
    <w:rsid w:val="610935A0"/>
    <w:rsid w:val="61280A7F"/>
    <w:rsid w:val="613E5233"/>
    <w:rsid w:val="61B632D3"/>
    <w:rsid w:val="626951F5"/>
    <w:rsid w:val="62775FE3"/>
    <w:rsid w:val="6283428A"/>
    <w:rsid w:val="629E2B9B"/>
    <w:rsid w:val="62C107AB"/>
    <w:rsid w:val="62FA1460"/>
    <w:rsid w:val="637F60C4"/>
    <w:rsid w:val="63D47623"/>
    <w:rsid w:val="63E615F8"/>
    <w:rsid w:val="643A075F"/>
    <w:rsid w:val="65200585"/>
    <w:rsid w:val="6668510F"/>
    <w:rsid w:val="66D83A56"/>
    <w:rsid w:val="67051FC3"/>
    <w:rsid w:val="68025E0B"/>
    <w:rsid w:val="68D86F67"/>
    <w:rsid w:val="696F5CA7"/>
    <w:rsid w:val="6A3B6D29"/>
    <w:rsid w:val="6AFA2B29"/>
    <w:rsid w:val="6B57359B"/>
    <w:rsid w:val="6BC50255"/>
    <w:rsid w:val="6BD271C1"/>
    <w:rsid w:val="6BE446D9"/>
    <w:rsid w:val="6C586496"/>
    <w:rsid w:val="6CE018B2"/>
    <w:rsid w:val="6DCA6C5B"/>
    <w:rsid w:val="6DCB32CF"/>
    <w:rsid w:val="6E17403E"/>
    <w:rsid w:val="6F466A3A"/>
    <w:rsid w:val="6F5E30EA"/>
    <w:rsid w:val="6F9D7571"/>
    <w:rsid w:val="6FDA1539"/>
    <w:rsid w:val="704B2AC7"/>
    <w:rsid w:val="708A356E"/>
    <w:rsid w:val="70CC39B0"/>
    <w:rsid w:val="71150889"/>
    <w:rsid w:val="7201548B"/>
    <w:rsid w:val="721A2C64"/>
    <w:rsid w:val="723E6AC7"/>
    <w:rsid w:val="73755196"/>
    <w:rsid w:val="73B42748"/>
    <w:rsid w:val="73BB05CB"/>
    <w:rsid w:val="741274D7"/>
    <w:rsid w:val="741A48A8"/>
    <w:rsid w:val="74410716"/>
    <w:rsid w:val="74F1554D"/>
    <w:rsid w:val="75203AC8"/>
    <w:rsid w:val="755A1363"/>
    <w:rsid w:val="75904763"/>
    <w:rsid w:val="75B504C9"/>
    <w:rsid w:val="766758F7"/>
    <w:rsid w:val="769218B4"/>
    <w:rsid w:val="76CC4FA4"/>
    <w:rsid w:val="77615E28"/>
    <w:rsid w:val="7776385E"/>
    <w:rsid w:val="777C4FC8"/>
    <w:rsid w:val="777C76A1"/>
    <w:rsid w:val="78CE2897"/>
    <w:rsid w:val="798D4147"/>
    <w:rsid w:val="79B53EEF"/>
    <w:rsid w:val="7A200CA1"/>
    <w:rsid w:val="7AAB17CC"/>
    <w:rsid w:val="7AC773DD"/>
    <w:rsid w:val="7AE27241"/>
    <w:rsid w:val="7B1B7457"/>
    <w:rsid w:val="7B6421FD"/>
    <w:rsid w:val="7B6D2EAB"/>
    <w:rsid w:val="7BD62E2D"/>
    <w:rsid w:val="7BEF3673"/>
    <w:rsid w:val="7CEF4CCD"/>
    <w:rsid w:val="7D264FA8"/>
    <w:rsid w:val="7DB75299"/>
    <w:rsid w:val="7E1E3316"/>
    <w:rsid w:val="7ED25FE3"/>
    <w:rsid w:val="7F0D5981"/>
    <w:rsid w:val="7F1D5C86"/>
    <w:rsid w:val="7FD97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2C0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rsid w:val="00A412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412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412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412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412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12C0"/>
    <w:pPr>
      <w:outlineLvl w:val="5"/>
    </w:pPr>
  </w:style>
  <w:style w:type="paragraph" w:styleId="7">
    <w:name w:val="heading 7"/>
    <w:basedOn w:val="H6"/>
    <w:next w:val="a"/>
    <w:qFormat/>
    <w:rsid w:val="00A412C0"/>
    <w:pPr>
      <w:outlineLvl w:val="6"/>
    </w:pPr>
  </w:style>
  <w:style w:type="paragraph" w:styleId="8">
    <w:name w:val="heading 8"/>
    <w:basedOn w:val="1"/>
    <w:next w:val="a"/>
    <w:qFormat/>
    <w:rsid w:val="00A412C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12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12C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12C0"/>
    <w:pPr>
      <w:ind w:left="1135"/>
    </w:pPr>
  </w:style>
  <w:style w:type="paragraph" w:styleId="20">
    <w:name w:val="List 2"/>
    <w:basedOn w:val="a3"/>
    <w:qFormat/>
    <w:rsid w:val="00A412C0"/>
    <w:pPr>
      <w:ind w:left="851"/>
    </w:pPr>
  </w:style>
  <w:style w:type="paragraph" w:styleId="a3">
    <w:name w:val="List"/>
    <w:basedOn w:val="a"/>
    <w:qFormat/>
    <w:rsid w:val="00A412C0"/>
    <w:pPr>
      <w:ind w:left="568" w:hanging="284"/>
    </w:pPr>
  </w:style>
  <w:style w:type="paragraph" w:styleId="70">
    <w:name w:val="toc 7"/>
    <w:basedOn w:val="60"/>
    <w:next w:val="a"/>
    <w:semiHidden/>
    <w:qFormat/>
    <w:rsid w:val="00A412C0"/>
    <w:pPr>
      <w:ind w:left="2268" w:hanging="2268"/>
    </w:pPr>
  </w:style>
  <w:style w:type="paragraph" w:styleId="60">
    <w:name w:val="toc 6"/>
    <w:basedOn w:val="50"/>
    <w:next w:val="a"/>
    <w:semiHidden/>
    <w:qFormat/>
    <w:rsid w:val="00A412C0"/>
    <w:pPr>
      <w:ind w:left="1985" w:hanging="1985"/>
    </w:pPr>
  </w:style>
  <w:style w:type="paragraph" w:styleId="50">
    <w:name w:val="toc 5"/>
    <w:basedOn w:val="40"/>
    <w:next w:val="a"/>
    <w:semiHidden/>
    <w:qFormat/>
    <w:rsid w:val="00A412C0"/>
    <w:pPr>
      <w:ind w:left="1701" w:hanging="1701"/>
    </w:pPr>
  </w:style>
  <w:style w:type="paragraph" w:styleId="40">
    <w:name w:val="toc 4"/>
    <w:basedOn w:val="31"/>
    <w:next w:val="a"/>
    <w:semiHidden/>
    <w:qFormat/>
    <w:rsid w:val="00A412C0"/>
    <w:pPr>
      <w:ind w:left="1418" w:hanging="1418"/>
    </w:pPr>
  </w:style>
  <w:style w:type="paragraph" w:styleId="31">
    <w:name w:val="toc 3"/>
    <w:basedOn w:val="21"/>
    <w:next w:val="a"/>
    <w:semiHidden/>
    <w:qFormat/>
    <w:rsid w:val="00A412C0"/>
    <w:pPr>
      <w:ind w:left="1134" w:hanging="1134"/>
    </w:pPr>
  </w:style>
  <w:style w:type="paragraph" w:styleId="21">
    <w:name w:val="toc 2"/>
    <w:basedOn w:val="10"/>
    <w:next w:val="a"/>
    <w:semiHidden/>
    <w:qFormat/>
    <w:rsid w:val="00A412C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12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A412C0"/>
    <w:pPr>
      <w:ind w:left="851"/>
    </w:pPr>
  </w:style>
  <w:style w:type="paragraph" w:styleId="a4">
    <w:name w:val="List Number"/>
    <w:basedOn w:val="a3"/>
    <w:qFormat/>
    <w:rsid w:val="00A412C0"/>
  </w:style>
  <w:style w:type="paragraph" w:styleId="41">
    <w:name w:val="List Bullet 4"/>
    <w:basedOn w:val="32"/>
    <w:qFormat/>
    <w:rsid w:val="00A412C0"/>
    <w:pPr>
      <w:ind w:left="1418"/>
    </w:pPr>
  </w:style>
  <w:style w:type="paragraph" w:styleId="32">
    <w:name w:val="List Bullet 3"/>
    <w:basedOn w:val="23"/>
    <w:qFormat/>
    <w:rsid w:val="00A412C0"/>
    <w:pPr>
      <w:ind w:left="1135"/>
    </w:pPr>
  </w:style>
  <w:style w:type="paragraph" w:styleId="23">
    <w:name w:val="List Bullet 2"/>
    <w:basedOn w:val="a5"/>
    <w:qFormat/>
    <w:rsid w:val="00A412C0"/>
    <w:pPr>
      <w:ind w:left="851"/>
    </w:pPr>
  </w:style>
  <w:style w:type="paragraph" w:styleId="a5">
    <w:name w:val="List Bullet"/>
    <w:basedOn w:val="a3"/>
    <w:qFormat/>
    <w:rsid w:val="00A412C0"/>
  </w:style>
  <w:style w:type="paragraph" w:styleId="a6">
    <w:name w:val="Document Map"/>
    <w:basedOn w:val="a"/>
    <w:semiHidden/>
    <w:qFormat/>
    <w:rsid w:val="00A412C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12C0"/>
  </w:style>
  <w:style w:type="paragraph" w:styleId="51">
    <w:name w:val="List Bullet 5"/>
    <w:basedOn w:val="41"/>
    <w:qFormat/>
    <w:rsid w:val="00A412C0"/>
    <w:pPr>
      <w:ind w:left="1702"/>
    </w:pPr>
  </w:style>
  <w:style w:type="paragraph" w:styleId="80">
    <w:name w:val="toc 8"/>
    <w:basedOn w:val="10"/>
    <w:next w:val="a"/>
    <w:semiHidden/>
    <w:qFormat/>
    <w:rsid w:val="00A412C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12C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12C0"/>
    <w:pPr>
      <w:jc w:val="center"/>
    </w:pPr>
    <w:rPr>
      <w:i/>
    </w:rPr>
  </w:style>
  <w:style w:type="paragraph" w:styleId="aa">
    <w:name w:val="header"/>
    <w:qFormat/>
    <w:rsid w:val="00A412C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12C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12C0"/>
    <w:pPr>
      <w:ind w:left="1702"/>
    </w:pPr>
  </w:style>
  <w:style w:type="paragraph" w:styleId="42">
    <w:name w:val="List 4"/>
    <w:basedOn w:val="30"/>
    <w:qFormat/>
    <w:rsid w:val="00A412C0"/>
    <w:pPr>
      <w:ind w:left="1418"/>
    </w:pPr>
  </w:style>
  <w:style w:type="paragraph" w:styleId="90">
    <w:name w:val="toc 9"/>
    <w:basedOn w:val="80"/>
    <w:next w:val="a"/>
    <w:semiHidden/>
    <w:qFormat/>
    <w:rsid w:val="00A412C0"/>
    <w:pPr>
      <w:ind w:left="1418" w:hanging="1418"/>
    </w:pPr>
  </w:style>
  <w:style w:type="paragraph" w:styleId="11">
    <w:name w:val="index 1"/>
    <w:basedOn w:val="a"/>
    <w:next w:val="a"/>
    <w:semiHidden/>
    <w:qFormat/>
    <w:rsid w:val="00A412C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12C0"/>
    <w:pPr>
      <w:ind w:left="284"/>
    </w:pPr>
  </w:style>
  <w:style w:type="paragraph" w:styleId="ac">
    <w:name w:val="annotation subject"/>
    <w:basedOn w:val="a7"/>
    <w:next w:val="a7"/>
    <w:semiHidden/>
    <w:qFormat/>
    <w:rsid w:val="00A412C0"/>
    <w:rPr>
      <w:b/>
      <w:bCs/>
    </w:rPr>
  </w:style>
  <w:style w:type="table" w:styleId="ad">
    <w:name w:val="Table Grid"/>
    <w:qFormat/>
    <w:rsid w:val="00A412C0"/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character" w:styleId="ae">
    <w:name w:val="FollowedHyperlink"/>
    <w:qFormat/>
    <w:rsid w:val="00A412C0"/>
    <w:rPr>
      <w:color w:val="800080"/>
      <w:u w:val="single"/>
    </w:rPr>
  </w:style>
  <w:style w:type="character" w:styleId="af">
    <w:name w:val="Hyperlink"/>
    <w:qFormat/>
    <w:rsid w:val="00A412C0"/>
    <w:rPr>
      <w:color w:val="0000FF"/>
      <w:u w:val="single"/>
    </w:rPr>
  </w:style>
  <w:style w:type="character" w:styleId="af0">
    <w:name w:val="annotation reference"/>
    <w:semiHidden/>
    <w:qFormat/>
    <w:rsid w:val="00A412C0"/>
    <w:rPr>
      <w:sz w:val="16"/>
    </w:rPr>
  </w:style>
  <w:style w:type="character" w:styleId="af1">
    <w:name w:val="footnote reference"/>
    <w:semiHidden/>
    <w:qFormat/>
    <w:rsid w:val="00A412C0"/>
    <w:rPr>
      <w:b/>
      <w:position w:val="6"/>
      <w:sz w:val="16"/>
    </w:rPr>
  </w:style>
  <w:style w:type="paragraph" w:customStyle="1" w:styleId="ZT">
    <w:name w:val="ZT"/>
    <w:qFormat/>
    <w:rsid w:val="00A412C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A412C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A412C0"/>
    <w:pPr>
      <w:outlineLvl w:val="9"/>
    </w:pPr>
  </w:style>
  <w:style w:type="paragraph" w:customStyle="1" w:styleId="TAH">
    <w:name w:val="TAH"/>
    <w:basedOn w:val="TAC"/>
    <w:qFormat/>
    <w:rsid w:val="00A412C0"/>
    <w:rPr>
      <w:b/>
    </w:rPr>
  </w:style>
  <w:style w:type="paragraph" w:customStyle="1" w:styleId="TAC">
    <w:name w:val="TAC"/>
    <w:basedOn w:val="TAL"/>
    <w:qFormat/>
    <w:rsid w:val="00A412C0"/>
    <w:pPr>
      <w:jc w:val="center"/>
    </w:pPr>
  </w:style>
  <w:style w:type="paragraph" w:customStyle="1" w:styleId="TAL">
    <w:name w:val="TAL"/>
    <w:basedOn w:val="a"/>
    <w:qFormat/>
    <w:rsid w:val="00A412C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412C0"/>
    <w:pPr>
      <w:keepNext w:val="0"/>
      <w:spacing w:before="0" w:after="240"/>
    </w:pPr>
  </w:style>
  <w:style w:type="paragraph" w:customStyle="1" w:styleId="TH">
    <w:name w:val="TH"/>
    <w:basedOn w:val="a"/>
    <w:qFormat/>
    <w:rsid w:val="00A412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412C0"/>
    <w:pPr>
      <w:keepLines/>
      <w:ind w:left="1135" w:hanging="851"/>
    </w:pPr>
  </w:style>
  <w:style w:type="paragraph" w:customStyle="1" w:styleId="EX">
    <w:name w:val="EX"/>
    <w:basedOn w:val="a"/>
    <w:qFormat/>
    <w:rsid w:val="00A412C0"/>
    <w:pPr>
      <w:keepLines/>
      <w:ind w:left="1702" w:hanging="1418"/>
    </w:pPr>
  </w:style>
  <w:style w:type="paragraph" w:customStyle="1" w:styleId="FP">
    <w:name w:val="FP"/>
    <w:basedOn w:val="a"/>
    <w:qFormat/>
    <w:rsid w:val="00A412C0"/>
    <w:pPr>
      <w:spacing w:after="0"/>
    </w:pPr>
  </w:style>
  <w:style w:type="paragraph" w:customStyle="1" w:styleId="LD">
    <w:name w:val="LD"/>
    <w:qFormat/>
    <w:rsid w:val="00A412C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A412C0"/>
    <w:pPr>
      <w:spacing w:after="0"/>
    </w:pPr>
  </w:style>
  <w:style w:type="paragraph" w:customStyle="1" w:styleId="EW">
    <w:name w:val="EW"/>
    <w:basedOn w:val="EX"/>
    <w:qFormat/>
    <w:rsid w:val="00A412C0"/>
    <w:pPr>
      <w:spacing w:after="0"/>
    </w:pPr>
  </w:style>
  <w:style w:type="paragraph" w:customStyle="1" w:styleId="EQ">
    <w:name w:val="EQ"/>
    <w:basedOn w:val="a"/>
    <w:next w:val="a"/>
    <w:qFormat/>
    <w:rsid w:val="00A412C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12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412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12C0"/>
    <w:pPr>
      <w:jc w:val="right"/>
    </w:pPr>
  </w:style>
  <w:style w:type="paragraph" w:customStyle="1" w:styleId="TAN">
    <w:name w:val="TAN"/>
    <w:basedOn w:val="TAL"/>
    <w:qFormat/>
    <w:rsid w:val="00A412C0"/>
    <w:pPr>
      <w:ind w:left="851" w:hanging="851"/>
    </w:pPr>
  </w:style>
  <w:style w:type="paragraph" w:customStyle="1" w:styleId="ZA">
    <w:name w:val="ZA"/>
    <w:qFormat/>
    <w:rsid w:val="00A412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A412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A412C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A412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A412C0"/>
    <w:pPr>
      <w:framePr w:wrap="notBeside" w:y="16161"/>
    </w:pPr>
  </w:style>
  <w:style w:type="character" w:customStyle="1" w:styleId="ZGSM">
    <w:name w:val="ZGSM"/>
    <w:qFormat/>
    <w:rsid w:val="00A412C0"/>
  </w:style>
  <w:style w:type="paragraph" w:customStyle="1" w:styleId="ZG">
    <w:name w:val="ZG"/>
    <w:qFormat/>
    <w:rsid w:val="00A412C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sid w:val="00A412C0"/>
    <w:rPr>
      <w:color w:val="FF0000"/>
    </w:rPr>
  </w:style>
  <w:style w:type="paragraph" w:customStyle="1" w:styleId="B1">
    <w:name w:val="B1"/>
    <w:basedOn w:val="a3"/>
    <w:qFormat/>
    <w:rsid w:val="00A412C0"/>
  </w:style>
  <w:style w:type="paragraph" w:customStyle="1" w:styleId="B2">
    <w:name w:val="B2"/>
    <w:basedOn w:val="20"/>
    <w:qFormat/>
    <w:rsid w:val="00A412C0"/>
  </w:style>
  <w:style w:type="paragraph" w:customStyle="1" w:styleId="B3">
    <w:name w:val="B3"/>
    <w:basedOn w:val="30"/>
    <w:qFormat/>
    <w:rsid w:val="00A412C0"/>
  </w:style>
  <w:style w:type="paragraph" w:customStyle="1" w:styleId="B4">
    <w:name w:val="B4"/>
    <w:basedOn w:val="42"/>
    <w:qFormat/>
    <w:rsid w:val="00A412C0"/>
  </w:style>
  <w:style w:type="paragraph" w:customStyle="1" w:styleId="B5">
    <w:name w:val="B5"/>
    <w:basedOn w:val="52"/>
    <w:qFormat/>
    <w:rsid w:val="00A412C0"/>
  </w:style>
  <w:style w:type="paragraph" w:customStyle="1" w:styleId="ZTD">
    <w:name w:val="ZTD"/>
    <w:basedOn w:val="ZB"/>
    <w:qFormat/>
    <w:rsid w:val="00A412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12C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A412C0"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412C0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  <w:rsid w:val="00A412C0"/>
  </w:style>
  <w:style w:type="paragraph" w:styleId="af2">
    <w:name w:val="No Spacing"/>
    <w:basedOn w:val="a"/>
    <w:uiPriority w:val="99"/>
    <w:qFormat/>
    <w:rsid w:val="00A412C0"/>
    <w:pPr>
      <w:spacing w:after="0"/>
    </w:pPr>
    <w:rPr>
      <w:rFonts w:eastAsia="Calibri"/>
    </w:rPr>
  </w:style>
  <w:style w:type="character" w:customStyle="1" w:styleId="af3">
    <w:name w:val="首标题"/>
    <w:qFormat/>
    <w:rsid w:val="00A412C0"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2Char">
    <w:name w:val="标题 2 Char"/>
    <w:basedOn w:val="a0"/>
    <w:link w:val="2"/>
    <w:qFormat/>
    <w:rsid w:val="00A412C0"/>
    <w:rPr>
      <w:rFonts w:ascii="Arial" w:eastAsiaTheme="minorEastAsia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AB7001-2AA0-4DFF-BE5F-6C11EAA96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895</Words>
  <Characters>5103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13</cp:revision>
  <cp:lastPrinted>1900-12-31T16:00:00Z</cp:lastPrinted>
  <dcterms:created xsi:type="dcterms:W3CDTF">2022-03-02T13:05:00Z</dcterms:created>
  <dcterms:modified xsi:type="dcterms:W3CDTF">2022-03-03T10:38:00Z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